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44E9B" w14:textId="77777777" w:rsidR="00307DE6" w:rsidRPr="00474E78" w:rsidRDefault="00307DE6" w:rsidP="00307DE6">
      <w:pPr>
        <w:spacing w:after="140"/>
        <w:jc w:val="right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  <w:r w:rsidRPr="00474E78">
        <w:rPr>
          <w:rFonts w:ascii="Times New Roman" w:eastAsia="Arial" w:hAnsi="Times New Roman" w:cs="Times New Roman"/>
          <w:sz w:val="18"/>
          <w:szCs w:val="18"/>
        </w:rPr>
        <w:drawing>
          <wp:inline distT="0" distB="0" distL="0" distR="0" wp14:anchorId="50FDB8BE" wp14:editId="65D3F8EB">
            <wp:extent cx="381000" cy="276912"/>
            <wp:effectExtent l="0" t="0" r="0" b="8890"/>
            <wp:docPr id="1220732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328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380" cy="28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4E78">
        <w:rPr>
          <w:rFonts w:ascii="Times New Roman" w:hAnsi="Times New Roman" w:cs="Times New Roman"/>
          <w:b/>
          <w:bCs/>
          <w:sz w:val="17"/>
          <w:szCs w:val="17"/>
          <w:lang w:val="tg-Cyrl-TJ"/>
        </w:rPr>
        <w:t>0123</w:t>
      </w:r>
    </w:p>
    <w:p w14:paraId="7CAF7851" w14:textId="77777777" w:rsidR="00307DE6" w:rsidRPr="00474E78" w:rsidRDefault="00307DE6" w:rsidP="00307DE6">
      <w:pPr>
        <w:spacing w:after="140"/>
        <w:jc w:val="right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097"/>
      </w:tblGrid>
      <w:tr w:rsidR="00307DE6" w:rsidRPr="00474E78" w14:paraId="21469724" w14:textId="77777777" w:rsidTr="00307DE6">
        <w:tc>
          <w:tcPr>
            <w:tcW w:w="5630" w:type="dxa"/>
          </w:tcPr>
          <w:p w14:paraId="44B9A6F3" w14:textId="0B227404" w:rsidR="00307DE6" w:rsidRPr="00474E78" w:rsidRDefault="00307DE6" w:rsidP="00307DE6">
            <w:pPr>
              <w:spacing w:after="1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g-Cyrl-TJ"/>
              </w:rPr>
              <w:t>ТЕСТ НА ОВУЛЯЦИЮ One Step LH (полоска)</w:t>
            </w:r>
            <w:r w:rsidRPr="00474E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g-Cyrl-TJ"/>
              </w:rPr>
              <w:br/>
            </w:r>
            <w:r w:rsidRPr="00474E78">
              <w:rPr>
                <w:rFonts w:ascii="Times New Roman" w:eastAsia="Arial" w:hAnsi="Times New Roman" w:cs="Times New Roman"/>
                <w:sz w:val="18"/>
                <w:szCs w:val="18"/>
              </w:rPr>
              <w:t>Только для самостоятельного применения</w:t>
            </w:r>
          </w:p>
        </w:tc>
      </w:tr>
    </w:tbl>
    <w:p w14:paraId="4BB8D3D6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НАЗНАЧЕНИЕ</w:t>
      </w:r>
    </w:p>
    <w:p w14:paraId="0CA3A338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Тест на овуляцию One Step LH — это иммунохроматографический одношаговый анализ для самостоятельного проведения, предназначенный для качественного определения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in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vitro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лютеинизирующего гормона человека (ЛГ) в моче с целью прогнозирования времени овуляции.</w:t>
      </w:r>
    </w:p>
    <w:p w14:paraId="7CB95316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КРАТКОЕ ОПИСАНИЕ И ПОЯСНЕНИЯ</w:t>
      </w:r>
    </w:p>
    <w:p w14:paraId="6CB57896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Лютеинизирующий гормон человека (ЛГ) —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гликопротеиновый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гормон, выделяемый передней долей гипофиза. ЛГ совместно с другими стероидными гормонами играет важную роль в регуляции овуляции и функции яичников в течение менструального цикла. Учитывая характерные колебания ЛГ во время цикла, быстрое и чувствительное измерение ЛГ — важный инструмент в диагностике и ведении женского бесплодия. Выявление всплеска ЛГ помогает прогнозировать время овуляции. Начало всплеска ЛГ предшествует овуляции примерно на 30 часов. Анализ ЛГ успешно применяется для определения времени забора ооцитов при ЭКО и так же помогает выбрать время искусственной инсеминации.</w:t>
      </w:r>
    </w:p>
    <w:p w14:paraId="08E00D9A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ПРИНЦИП ДЕЙСТВИЯ</w:t>
      </w:r>
    </w:p>
    <w:p w14:paraId="16769135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Тест на овуляцию One Step LH — качественный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двухантительный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«сэндвич»-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иммуноанализ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для определения ЛГ в моче. Мембрана предварительно покрыта анти-β-ЛГ в зоне тестовой линии и козьими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поликлональными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антителами против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IgG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мыши в зоне контрольной линии. В ходе теста моча реагирует с окрашенным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конъюгатом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(мышиное моноклональное анти-α-ЛГ-антитело с коллоидным золотом), предварительно нанесённым на полоску. Смесь поднимается по мембране за счёт капиллярного действия. При наличии ЛГ в образце в зоне тестовой линии образуется окрашенная полоса.</w:t>
      </w:r>
    </w:p>
    <w:p w14:paraId="5DAD63F0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Козьи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поликлональные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антитела против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IgG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мыши реагируют с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конъюгатом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, и в контрольной зоне всегда появляется светлая полоса. Эта контрольная полоса служит эталоном интенсивности окраски примерно для </w:t>
      </w:r>
      <w:r w:rsidRPr="00474E78">
        <w:rPr>
          <w:rFonts w:ascii="Times New Roman" w:eastAsia="Arial" w:hAnsi="Times New Roman" w:cs="Times New Roman"/>
          <w:sz w:val="17"/>
          <w:szCs w:val="17"/>
        </w:rPr>
        <w:t xml:space="preserve">25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>/мл ЛГ. Если интенсивность тестовой полосы выше контрольной — тест положительный, всплеск ЛГ вероятно происходит. Отсутствие розовой полосы в тестовой зоне либо более бледная окраска тестовой полосы по сравнению с контрольной — отрицательный результат. Наличие розовой полосы в контрольной зоне подтверждает: 1) достаточный объём образца; 2) надлежащее протекание; 3) исправность реагентов.</w:t>
      </w:r>
    </w:p>
    <w:p w14:paraId="0F2C20C0" w14:textId="43C97A38" w:rsidR="009B6271" w:rsidRPr="00474E78" w:rsidRDefault="009B6271" w:rsidP="00307DE6">
      <w:pPr>
        <w:spacing w:after="140"/>
        <w:rPr>
          <w:rFonts w:ascii="Times New Roman" w:hAnsi="Times New Roman" w:cs="Times New Roman"/>
        </w:rPr>
      </w:pPr>
    </w:p>
    <w:p w14:paraId="351541A1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РЕАГЕНТЫ</w:t>
      </w:r>
    </w:p>
    <w:p w14:paraId="0B837B3C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Одна тест-полоска на овуляцию ЛГ</w:t>
      </w:r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в фольгированном пакете. </w:t>
      </w: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Ингредиенты:</w:t>
      </w:r>
      <w:r w:rsidRPr="00474E78">
        <w:rPr>
          <w:rFonts w:ascii="Times New Roman" w:eastAsia="Arial" w:hAnsi="Times New Roman" w:cs="Times New Roman"/>
          <w:sz w:val="17"/>
          <w:szCs w:val="17"/>
        </w:rPr>
        <w:t xml:space="preserve"> тест-устройство содержит коллоидное золото, покрытое козьими анти-мышиными антителами 1,5 мг/мл, мышиными анти-α-ЛГ 1 мг/мл и мышиными анти-β-ЛГ 4 мг/мл.</w:t>
      </w:r>
    </w:p>
    <w:p w14:paraId="4E1B53AF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КОМПЛЕКТАЦИЯ</w:t>
      </w:r>
    </w:p>
    <w:p w14:paraId="096644D5" w14:textId="2F65C1F6" w:rsidR="00307DE6" w:rsidRPr="00474E78" w:rsidRDefault="00307DE6" w:rsidP="00307DE6">
      <w:pPr>
        <w:spacing w:after="5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Каждый пакет содержит: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1. Одну тест-полоску One Step LH.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2. Осушитель.</w:t>
      </w:r>
    </w:p>
    <w:p w14:paraId="336B5434" w14:textId="4AF31375" w:rsidR="00307DE6" w:rsidRPr="00474E78" w:rsidRDefault="00307DE6" w:rsidP="00307DE6">
      <w:pPr>
        <w:spacing w:after="5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Каждая коробка содержит: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1. Фольгированные пакеты с тест-полосками.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2. Коробка: 5 / 7 / 50 / 100 шт.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3. Инструкция-вкладыш.</w:t>
      </w:r>
    </w:p>
    <w:p w14:paraId="378A2AE7" w14:textId="6208D7C4" w:rsidR="00307DE6" w:rsidRPr="00474E78" w:rsidRDefault="00307DE6" w:rsidP="00307DE6">
      <w:pPr>
        <w:spacing w:after="5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Дополнительное оборудование (при необходимости):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контейнер для сбора образца;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sz w:val="17"/>
          <w:szCs w:val="17"/>
        </w:rPr>
        <w:t>таймер.</w:t>
      </w:r>
    </w:p>
    <w:p w14:paraId="4A9CBBDB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ХРАНЕНИЕ И СТАБИЛЬНОСТЬ</w:t>
      </w:r>
    </w:p>
    <w:p w14:paraId="79DF9586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Храните тест-полоску при 4–30 °C (комнатная температура). Избегайте солнечных лучей. Тест стабилен до даты на этикетке пакета.</w:t>
      </w:r>
    </w:p>
    <w:p w14:paraId="3C4F485D" w14:textId="77777777" w:rsidR="00307DE6" w:rsidRPr="00474E78" w:rsidRDefault="00307DE6" w:rsidP="00307DE6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ПРОЦЕДУРА АНАЛИЗА</w:t>
      </w:r>
    </w:p>
    <w:p w14:paraId="4897FD8A" w14:textId="77777777" w:rsidR="00307DE6" w:rsidRPr="00474E78" w:rsidRDefault="00307DE6" w:rsidP="00307DE6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1. Определение даты тестирования</w:t>
      </w:r>
    </w:p>
    <w:p w14:paraId="09E6643D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Пик концентрации ЛГ наступает перед овуляцией. Овуляция тесно связана с пиком выброса ЛГ. Пик ЛГ предсказывает овуляцию в ближайшие 24–48 часов, поэтому отслеживание пика ЛГ обеспечивает лучшее время для зачатия.</w:t>
      </w:r>
    </w:p>
    <w:p w14:paraId="66A0281D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Чтобы определить, когда начинать тестирование, сначала узнайте длину своего менструального цикла — число дней от первого дня менструального кровотечения до дня перед началом следующей менструации. Воспользуйтесь таблицей ниже.</w:t>
      </w:r>
    </w:p>
    <w:p w14:paraId="292FC3F7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Примечание: если длина цикла неизвестна, начните тестирование на 11-й день после начала первой менструации. По таблице при цикле 28 дней начинать тест следует на 12-й день цикла — по одному тесту в день, пока </w:t>
      </w:r>
      <w:r w:rsidRPr="00474E78">
        <w:rPr>
          <w:rFonts w:ascii="Times New Roman" w:eastAsia="Arial" w:hAnsi="Times New Roman" w:cs="Times New Roman"/>
          <w:sz w:val="16"/>
          <w:szCs w:val="16"/>
        </w:rPr>
        <w:t>не будет выявлен всплеск ЛГ. Если ваш цикл короче 21 дня или длиннее 40 дней, обратитесь к врачу.</w:t>
      </w:r>
    </w:p>
    <w:p w14:paraId="4F048CC3" w14:textId="77777777" w:rsidR="00307DE6" w:rsidRPr="00474E78" w:rsidRDefault="00307DE6" w:rsidP="00307DE6">
      <w:pPr>
        <w:spacing w:after="5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>ТАБЛИЦА МЕНСТРУАЛЬНОГО ЦИКЛА</w:t>
      </w:r>
    </w:p>
    <w:tbl>
      <w:tblPr>
        <w:tblW w:w="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992"/>
        <w:gridCol w:w="850"/>
        <w:gridCol w:w="1134"/>
      </w:tblGrid>
      <w:tr w:rsidR="00307DE6" w:rsidRPr="00474E78" w14:paraId="7CD77362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  <w:tblHeader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8EDF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9904E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Цикл, дней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8EDF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F147A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Начало теста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8EDF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A1431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Цикл, дней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shd w:val="clear" w:color="auto" w:fill="E8EDF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97C11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Начало теста</w:t>
            </w:r>
          </w:p>
        </w:tc>
      </w:tr>
      <w:tr w:rsidR="00307DE6" w:rsidRPr="00474E78" w14:paraId="428F0CE7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726352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593034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5-й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9B3EFD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CC52B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15-й день</w:t>
            </w:r>
          </w:p>
        </w:tc>
      </w:tr>
      <w:tr w:rsidR="00307DE6" w:rsidRPr="00474E78" w14:paraId="132C4E89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EED782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CE44A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6-й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2DB8BA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14988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16-й день</w:t>
            </w:r>
          </w:p>
        </w:tc>
      </w:tr>
      <w:tr w:rsidR="00307DE6" w:rsidRPr="00474E78" w14:paraId="023ADA2D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CD88E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0ADDEA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7-й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0F0307A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808352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17-й день</w:t>
            </w:r>
          </w:p>
        </w:tc>
      </w:tr>
      <w:tr w:rsidR="00307DE6" w:rsidRPr="00474E78" w14:paraId="17D3FC1A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D0ADB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A51642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8-й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53A51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F219C9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18-й день</w:t>
            </w:r>
          </w:p>
        </w:tc>
      </w:tr>
      <w:tr w:rsidR="00307DE6" w:rsidRPr="00474E78" w14:paraId="67B668D9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7B413F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2D286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9-й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D320D8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9FC0DC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19-й день</w:t>
            </w:r>
          </w:p>
        </w:tc>
      </w:tr>
      <w:tr w:rsidR="00307DE6" w:rsidRPr="00474E78" w14:paraId="1FE1275C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E13E1F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191DAD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10-й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945DB3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DB6C92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20-й день</w:t>
            </w:r>
          </w:p>
        </w:tc>
      </w:tr>
      <w:tr w:rsidR="00307DE6" w:rsidRPr="00474E78" w14:paraId="0B908684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AFB3E4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94DF89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11-й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505CF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0B5389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21-й день</w:t>
            </w:r>
          </w:p>
        </w:tc>
      </w:tr>
      <w:tr w:rsidR="00307DE6" w:rsidRPr="00474E78" w14:paraId="4155AC0C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851DF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7DB666C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12-й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F500F9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330BBB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22-й день</w:t>
            </w:r>
          </w:p>
        </w:tc>
      </w:tr>
      <w:tr w:rsidR="00307DE6" w:rsidRPr="00474E78" w14:paraId="1CD8B174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EB61B29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3CAABD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13-й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6F135D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46B69D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23-й день</w:t>
            </w:r>
          </w:p>
        </w:tc>
      </w:tr>
      <w:tr w:rsidR="00307DE6" w:rsidRPr="00474E78" w14:paraId="1E1A02F8" w14:textId="77777777" w:rsidTr="005770A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01C71E7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992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4A7EB1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14-й день</w:t>
            </w:r>
          </w:p>
        </w:tc>
        <w:tc>
          <w:tcPr>
            <w:tcW w:w="85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EB02A0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1134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D0820E" w14:textId="77777777" w:rsidR="00307DE6" w:rsidRPr="00474E78" w:rsidRDefault="00307DE6" w:rsidP="00307DE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24-й день</w:t>
            </w:r>
          </w:p>
        </w:tc>
      </w:tr>
    </w:tbl>
    <w:p w14:paraId="0D7F2A15" w14:textId="20878E7C" w:rsidR="005770A1" w:rsidRPr="00474E78" w:rsidRDefault="00307DE6" w:rsidP="00307DE6">
      <w:pPr>
        <w:spacing w:after="50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Пример: при обычном цикле 28 дней, если первый день последней менструации — 7-е число месяца, начинать тестирование следует 18-го числа.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72"/>
        <w:gridCol w:w="580"/>
        <w:gridCol w:w="566"/>
        <w:gridCol w:w="572"/>
        <w:gridCol w:w="661"/>
        <w:gridCol w:w="572"/>
        <w:gridCol w:w="574"/>
      </w:tblGrid>
      <w:tr w:rsidR="005770A1" w:rsidRPr="00474E78" w14:paraId="71826ECF" w14:textId="77777777" w:rsidTr="005770A1">
        <w:tc>
          <w:tcPr>
            <w:tcW w:w="804" w:type="dxa"/>
          </w:tcPr>
          <w:p w14:paraId="06892CDC" w14:textId="0C21ED09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Вс</w:t>
            </w:r>
          </w:p>
        </w:tc>
        <w:tc>
          <w:tcPr>
            <w:tcW w:w="804" w:type="dxa"/>
          </w:tcPr>
          <w:p w14:paraId="578A969D" w14:textId="71733F0A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Пн</w:t>
            </w:r>
            <w:proofErr w:type="spellEnd"/>
          </w:p>
        </w:tc>
        <w:tc>
          <w:tcPr>
            <w:tcW w:w="804" w:type="dxa"/>
          </w:tcPr>
          <w:p w14:paraId="7AC0E2B1" w14:textId="3E92B15A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Вт</w:t>
            </w:r>
          </w:p>
        </w:tc>
        <w:tc>
          <w:tcPr>
            <w:tcW w:w="804" w:type="dxa"/>
          </w:tcPr>
          <w:p w14:paraId="54C5A273" w14:textId="581A1E68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Ср</w:t>
            </w:r>
          </w:p>
        </w:tc>
        <w:tc>
          <w:tcPr>
            <w:tcW w:w="804" w:type="dxa"/>
          </w:tcPr>
          <w:p w14:paraId="3CF60340" w14:textId="06FE9F62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805" w:type="dxa"/>
          </w:tcPr>
          <w:p w14:paraId="44E77030" w14:textId="1C67BCF2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805" w:type="dxa"/>
          </w:tcPr>
          <w:p w14:paraId="7DC7B547" w14:textId="674FAAB0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Сб</w:t>
            </w:r>
          </w:p>
        </w:tc>
      </w:tr>
      <w:tr w:rsidR="005770A1" w:rsidRPr="00474E78" w14:paraId="69E9D10C" w14:textId="77777777" w:rsidTr="005770A1">
        <w:tc>
          <w:tcPr>
            <w:tcW w:w="804" w:type="dxa"/>
          </w:tcPr>
          <w:p w14:paraId="33E1EB85" w14:textId="7777777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804" w:type="dxa"/>
          </w:tcPr>
          <w:p w14:paraId="7D150B94" w14:textId="76541733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4" w:type="dxa"/>
          </w:tcPr>
          <w:p w14:paraId="2B6A2ACC" w14:textId="130AE3A2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4" w:type="dxa"/>
          </w:tcPr>
          <w:p w14:paraId="22F89BAB" w14:textId="23CB8B1B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04" w:type="dxa"/>
          </w:tcPr>
          <w:p w14:paraId="3678B481" w14:textId="52A448B3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05" w:type="dxa"/>
          </w:tcPr>
          <w:p w14:paraId="4FB19A58" w14:textId="0385D638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05" w:type="dxa"/>
          </w:tcPr>
          <w:p w14:paraId="6B7B07DE" w14:textId="4077D7FE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6</w:t>
            </w:r>
          </w:p>
        </w:tc>
      </w:tr>
      <w:tr w:rsidR="005770A1" w:rsidRPr="00474E78" w14:paraId="3964E01B" w14:textId="77777777" w:rsidTr="005770A1">
        <w:tc>
          <w:tcPr>
            <w:tcW w:w="804" w:type="dxa"/>
          </w:tcPr>
          <w:p w14:paraId="4A05ADDF" w14:textId="7C7D8A89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(7)</w:t>
            </w:r>
          </w:p>
        </w:tc>
        <w:tc>
          <w:tcPr>
            <w:tcW w:w="804" w:type="dxa"/>
          </w:tcPr>
          <w:p w14:paraId="56EC2F28" w14:textId="0C6F779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04" w:type="dxa"/>
          </w:tcPr>
          <w:p w14:paraId="3DDA07FE" w14:textId="2B4B8E95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04" w:type="dxa"/>
          </w:tcPr>
          <w:p w14:paraId="70717BC7" w14:textId="67A4B4B4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04" w:type="dxa"/>
          </w:tcPr>
          <w:p w14:paraId="4CA67FB2" w14:textId="2A871C6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05" w:type="dxa"/>
          </w:tcPr>
          <w:p w14:paraId="2A7DB9FD" w14:textId="2F029601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05" w:type="dxa"/>
          </w:tcPr>
          <w:p w14:paraId="3454EF16" w14:textId="156BA6E8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13</w:t>
            </w:r>
          </w:p>
        </w:tc>
      </w:tr>
      <w:tr w:rsidR="005770A1" w:rsidRPr="00474E78" w14:paraId="66320401" w14:textId="77777777" w:rsidTr="005770A1">
        <w:tc>
          <w:tcPr>
            <w:tcW w:w="804" w:type="dxa"/>
          </w:tcPr>
          <w:p w14:paraId="6DF63FBA" w14:textId="2D2549A4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04" w:type="dxa"/>
          </w:tcPr>
          <w:p w14:paraId="1AF7AD32" w14:textId="72C48A6F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04" w:type="dxa"/>
          </w:tcPr>
          <w:p w14:paraId="2ABC1CED" w14:textId="040CC449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04" w:type="dxa"/>
          </w:tcPr>
          <w:p w14:paraId="0DAE67B3" w14:textId="49034259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04" w:type="dxa"/>
          </w:tcPr>
          <w:p w14:paraId="76CCE8F5" w14:textId="685501FD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&lt;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18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&gt;</w:t>
            </w:r>
          </w:p>
        </w:tc>
        <w:tc>
          <w:tcPr>
            <w:tcW w:w="805" w:type="dxa"/>
          </w:tcPr>
          <w:p w14:paraId="2E120248" w14:textId="443916F0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05" w:type="dxa"/>
          </w:tcPr>
          <w:p w14:paraId="03EE40A1" w14:textId="5C7DFE9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20</w:t>
            </w:r>
          </w:p>
        </w:tc>
      </w:tr>
      <w:tr w:rsidR="005770A1" w:rsidRPr="00474E78" w14:paraId="08F587D5" w14:textId="77777777" w:rsidTr="005770A1">
        <w:tc>
          <w:tcPr>
            <w:tcW w:w="804" w:type="dxa"/>
          </w:tcPr>
          <w:p w14:paraId="27D077F3" w14:textId="6395DBEF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04" w:type="dxa"/>
          </w:tcPr>
          <w:p w14:paraId="03967A1A" w14:textId="6FC96503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04" w:type="dxa"/>
          </w:tcPr>
          <w:p w14:paraId="3ED6DC3C" w14:textId="393A96FC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04" w:type="dxa"/>
          </w:tcPr>
          <w:p w14:paraId="53CBCAC1" w14:textId="15D30172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04" w:type="dxa"/>
          </w:tcPr>
          <w:p w14:paraId="4C2E299A" w14:textId="0D3B696C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05" w:type="dxa"/>
          </w:tcPr>
          <w:p w14:paraId="21FECA78" w14:textId="557681A0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05" w:type="dxa"/>
          </w:tcPr>
          <w:p w14:paraId="46AA290C" w14:textId="454C63FB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27</w:t>
            </w:r>
          </w:p>
        </w:tc>
      </w:tr>
      <w:tr w:rsidR="005770A1" w:rsidRPr="00474E78" w14:paraId="0750F29A" w14:textId="77777777" w:rsidTr="005770A1">
        <w:tc>
          <w:tcPr>
            <w:tcW w:w="804" w:type="dxa"/>
          </w:tcPr>
          <w:p w14:paraId="4E689B05" w14:textId="24011AA8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04" w:type="dxa"/>
          </w:tcPr>
          <w:p w14:paraId="1E0FE1D7" w14:textId="15C70DA5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04" w:type="dxa"/>
          </w:tcPr>
          <w:p w14:paraId="6257B278" w14:textId="4AEA58D2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04" w:type="dxa"/>
          </w:tcPr>
          <w:p w14:paraId="59669CBA" w14:textId="0D512E84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04" w:type="dxa"/>
          </w:tcPr>
          <w:p w14:paraId="5097846E" w14:textId="7777777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</w:tcPr>
          <w:p w14:paraId="5FC04946" w14:textId="7777777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</w:tcPr>
          <w:p w14:paraId="6EC7F00C" w14:textId="77777777" w:rsidR="005770A1" w:rsidRPr="00474E78" w:rsidRDefault="005770A1" w:rsidP="00307DE6">
            <w:pPr>
              <w:spacing w:after="50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</w:tbl>
    <w:p w14:paraId="53E8F9FA" w14:textId="3385D5D6" w:rsidR="00307DE6" w:rsidRPr="00474E78" w:rsidRDefault="005770A1" w:rsidP="005770A1">
      <w:pPr>
        <w:spacing w:after="50"/>
        <w:rPr>
          <w:rFonts w:ascii="Times New Roman" w:hAnsi="Times New Roman" w:cs="Times New Roman"/>
        </w:rPr>
      </w:pPr>
      <w:proofErr w:type="gramStart"/>
      <w:r w:rsidRPr="00474E78">
        <w:rPr>
          <w:rFonts w:ascii="Times New Roman" w:eastAsia="Arial" w:hAnsi="Times New Roman" w:cs="Times New Roman"/>
          <w:sz w:val="16"/>
          <w:szCs w:val="16"/>
        </w:rPr>
        <w:t>(  )</w:t>
      </w:r>
      <w:proofErr w:type="gram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 — первый день последней менструации;</w:t>
      </w:r>
      <w:r w:rsidRPr="00474E78">
        <w:rPr>
          <w:rFonts w:ascii="Times New Roman" w:eastAsia="Arial" w:hAnsi="Times New Roman" w:cs="Times New Roman"/>
          <w:sz w:val="16"/>
          <w:szCs w:val="16"/>
        </w:rPr>
        <w:br/>
      </w:r>
      <w:r w:rsidRPr="00474E78">
        <w:rPr>
          <w:rFonts w:ascii="Times New Roman" w:eastAsia="Arial" w:hAnsi="Times New Roman" w:cs="Times New Roman"/>
          <w:sz w:val="16"/>
          <w:szCs w:val="16"/>
        </w:rPr>
        <w:t>&lt;&gt; — начало тестирования полоской (по моче).</w:t>
      </w:r>
    </w:p>
    <w:p w14:paraId="2BCABF71" w14:textId="77777777" w:rsidR="00307DE6" w:rsidRPr="00474E78" w:rsidRDefault="00307DE6" w:rsidP="00307DE6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2. Сбор и обращение с образцами</w:t>
      </w:r>
    </w:p>
    <w:p w14:paraId="1C1F20CE" w14:textId="77777777" w:rsidR="00307DE6" w:rsidRPr="00474E78" w:rsidRDefault="00307DE6" w:rsidP="00307DE6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Тест на овуляцию One Step LH предназначен для свежих образцов мочи. Используйте сразу после сбора. Для сбора применяйте стаканчик для мочи; специальная обработка не требуется. Выберите удобное время суток и старайтесь собирать мочу примерно в одно и то же время в течение всего цикла. Для лучших результатов собирайте мочу между 10:00 и 20:00.</w:t>
      </w:r>
    </w:p>
    <w:p w14:paraId="30693E0C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3. Порядок проведения теста</w:t>
      </w:r>
    </w:p>
    <w:p w14:paraId="507E1AE4" w14:textId="77777777" w:rsidR="005770A1" w:rsidRPr="00474E78" w:rsidRDefault="005770A1" w:rsidP="005770A1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1. Извлеките тест-полоску из фольгированного пакета.</w:t>
      </w:r>
    </w:p>
    <w:p w14:paraId="10DA7014" w14:textId="77777777" w:rsidR="005770A1" w:rsidRPr="00474E78" w:rsidRDefault="005770A1" w:rsidP="005770A1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2. Погрузите полоску в мочу концом со стрелкой вниз. Не погружайте выше линии MAX. Через минимум 15 секунд извлеките полоску и положите горизонтально на чистую невпитывающую поверхность (см. рисунок).</w:t>
      </w:r>
    </w:p>
    <w:p w14:paraId="270A5B2D" w14:textId="0DAB0018" w:rsidR="005770A1" w:rsidRPr="00474E78" w:rsidRDefault="005770A1" w:rsidP="005770A1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3.Считайте результат на 10-й минуте. </w:t>
      </w:r>
      <w:r w:rsidRPr="00474E78">
        <w:rPr>
          <w:rFonts w:ascii="Times New Roman" w:eastAsia="Arial" w:hAnsi="Times New Roman" w:cs="Times New Roman"/>
          <w:sz w:val="17"/>
          <w:szCs w:val="17"/>
        </w:rPr>
        <w:br/>
      </w: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НЕ ИНТЕРПРЕТИРУЙТЕ РЕЗУЛЬТАТ ПОСЛЕ 15 МИНУТ.</w:t>
      </w:r>
    </w:p>
    <w:p w14:paraId="535891C2" w14:textId="77777777" w:rsidR="005770A1" w:rsidRPr="00474E78" w:rsidRDefault="005770A1" w:rsidP="005770A1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>4. После однократного применения выбросьте устройство в мусорное ведро.</w:t>
      </w:r>
    </w:p>
    <w:p w14:paraId="589A5E01" w14:textId="5602196D" w:rsidR="00307DE6" w:rsidRPr="00474E78" w:rsidRDefault="005770A1" w:rsidP="00307DE6">
      <w:pPr>
        <w:spacing w:after="140"/>
        <w:rPr>
          <w:rFonts w:ascii="Times New Roman" w:hAnsi="Times New Roman" w:cs="Times New Roman"/>
        </w:rPr>
      </w:pPr>
      <w:r w:rsidRPr="00474E78">
        <w:rPr>
          <w:rFonts w:ascii="Times New Roman" w:hAnsi="Times New Roman" w:cs="Times New Roman"/>
        </w:rPr>
        <w:drawing>
          <wp:inline distT="0" distB="0" distL="0" distR="0" wp14:anchorId="29964F74" wp14:editId="05754872">
            <wp:extent cx="795867" cy="1128469"/>
            <wp:effectExtent l="0" t="0" r="4445" b="0"/>
            <wp:docPr id="3188204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8204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9027" cy="113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DA8A7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4. Интерпретация результатов</w:t>
      </w:r>
    </w:p>
    <w:p w14:paraId="78ABF6F7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Отрицательный</w:t>
      </w:r>
      <w:r w:rsidRPr="00474E78">
        <w:rPr>
          <w:rFonts w:ascii="Times New Roman" w:eastAsia="Arial" w:hAnsi="Times New Roman" w:cs="Times New Roman"/>
          <w:sz w:val="17"/>
          <w:szCs w:val="17"/>
        </w:rPr>
        <w:t>: в контрольной зоне (C) только одна розовая полоса, либо есть обе полосы, но тестовая (T) бледнее контрольной (C). Всплеск ЛГ не выявлен — продолжайте ежедневное тестирование.</w:t>
      </w:r>
    </w:p>
    <w:p w14:paraId="782E5BEF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Положительный</w:t>
      </w:r>
      <w:r w:rsidRPr="00474E78">
        <w:rPr>
          <w:rFonts w:ascii="Times New Roman" w:eastAsia="Arial" w:hAnsi="Times New Roman" w:cs="Times New Roman"/>
          <w:sz w:val="17"/>
          <w:szCs w:val="17"/>
        </w:rPr>
        <w:t>: две чёткие розовые полосы — в тестовой зоне (T) и контрольной (C), причём тестовая (T) равна по интенсивности или темнее контрольной (C). Овуляция вероятна в ближайшие 24–48 часов. При планировании беременности лучшее время для близости — после 24, но до 48 часов.</w:t>
      </w:r>
    </w:p>
    <w:p w14:paraId="2589E9EB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7"/>
          <w:szCs w:val="17"/>
        </w:rPr>
        <w:t>Недействительный</w:t>
      </w:r>
      <w:r w:rsidRPr="00474E78">
        <w:rPr>
          <w:rFonts w:ascii="Times New Roman" w:eastAsia="Arial" w:hAnsi="Times New Roman" w:cs="Times New Roman"/>
          <w:sz w:val="17"/>
          <w:szCs w:val="17"/>
        </w:rPr>
        <w:t>: если розово-фиолетовых полос нет ни в тестовой (T), ни в контрольной (C) зоне, либо полоса есть только в тестовой зоне (T) без контрольной (C) — тест недействителен. Рекомендуется повторить тест.</w:t>
      </w:r>
    </w:p>
    <w:p w14:paraId="4F3BB144" w14:textId="77777777" w:rsidR="005770A1" w:rsidRPr="00474E78" w:rsidRDefault="005770A1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p w14:paraId="3722232A" w14:textId="3E7A962C" w:rsidR="005770A1" w:rsidRPr="00474E78" w:rsidRDefault="005770A1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  <w:r w:rsidRPr="00474E78">
        <w:rPr>
          <w:rFonts w:ascii="Times New Roman" w:hAnsi="Times New Roman" w:cs="Times New Roman"/>
          <w:noProof/>
        </w:rPr>
        <w:drawing>
          <wp:inline distT="0" distB="0" distL="0" distR="0" wp14:anchorId="7FDFE8C7" wp14:editId="1C2B2B39">
            <wp:extent cx="2607945" cy="1582153"/>
            <wp:effectExtent l="0" t="0" r="1905" b="0"/>
            <wp:docPr id="1112126108" name="Рисунок 1112126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158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385B" w14:textId="77777777" w:rsidR="005770A1" w:rsidRPr="00474E78" w:rsidRDefault="005770A1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p w14:paraId="5F422764" w14:textId="77777777" w:rsidR="005770A1" w:rsidRPr="00474E78" w:rsidRDefault="005770A1" w:rsidP="005770A1">
      <w:pPr>
        <w:spacing w:after="50"/>
        <w:jc w:val="center"/>
        <w:rPr>
          <w:rFonts w:ascii="Times New Roman" w:eastAsia="Arial" w:hAnsi="Times New Roman" w:cs="Times New Roman"/>
          <w:sz w:val="15"/>
          <w:szCs w:val="15"/>
        </w:rPr>
      </w:pPr>
      <w:r w:rsidRPr="00474E78">
        <w:rPr>
          <w:rFonts w:ascii="Times New Roman" w:eastAsia="Arial" w:hAnsi="Times New Roman" w:cs="Times New Roman"/>
          <w:sz w:val="15"/>
          <w:szCs w:val="15"/>
        </w:rPr>
        <w:t>Положительный · Отрицательный · Недействительный</w:t>
      </w:r>
    </w:p>
    <w:p w14:paraId="78ED5C6F" w14:textId="77777777" w:rsidR="005770A1" w:rsidRPr="00474E78" w:rsidRDefault="005770A1" w:rsidP="005770A1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КОНТРОЛЬ КАЧЕСТВА</w:t>
      </w:r>
    </w:p>
    <w:p w14:paraId="44FFFCEB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Встроенные функции контроля качества. После внесения образца окрашенные полосы мигрируют по мембране у переднего края </w:t>
      </w:r>
      <w:proofErr w:type="spellStart"/>
      <w:r w:rsidRPr="00474E78">
        <w:rPr>
          <w:rFonts w:ascii="Times New Roman" w:eastAsia="Arial" w:hAnsi="Times New Roman" w:cs="Times New Roman"/>
          <w:sz w:val="17"/>
          <w:szCs w:val="17"/>
        </w:rPr>
        <w:t>конъюгата</w:t>
      </w:r>
      <w:proofErr w:type="spellEnd"/>
      <w:r w:rsidRPr="00474E78">
        <w:rPr>
          <w:rFonts w:ascii="Times New Roman" w:eastAsia="Arial" w:hAnsi="Times New Roman" w:cs="Times New Roman"/>
          <w:sz w:val="17"/>
          <w:szCs w:val="17"/>
        </w:rPr>
        <w:t xml:space="preserve"> красителя и полностью «вымываются» с полоски.</w:t>
      </w:r>
    </w:p>
    <w:p w14:paraId="2B96A11C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7"/>
          <w:szCs w:val="17"/>
        </w:rPr>
        <w:t xml:space="preserve">По завершении теста на отрицательных образцах виден только розово-фиолетовый бэнд в зоне «C» либо обе полосы, где тестовая бледнее контрольной; на положительных образцах появляются полосы в зонах «T» и «C», где тестовая равна или темнее контрольной. </w:t>
      </w:r>
      <w:r w:rsidRPr="00474E78">
        <w:rPr>
          <w:rFonts w:ascii="Times New Roman" w:eastAsia="Arial" w:hAnsi="Times New Roman" w:cs="Times New Roman"/>
          <w:sz w:val="17"/>
          <w:szCs w:val="17"/>
        </w:rPr>
        <w:lastRenderedPageBreak/>
        <w:t>Появление КОНТРОЛЬНОЙ полосы подтверждает исправную работу полоски и служит процедурным контролем.</w:t>
      </w:r>
    </w:p>
    <w:p w14:paraId="3F2A5E54" w14:textId="77777777" w:rsidR="005770A1" w:rsidRPr="00474E78" w:rsidRDefault="005770A1" w:rsidP="005770A1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ХАРАКТЕРИСТИКИ ЭФФЕКТИВНОСТИ</w:t>
      </w:r>
    </w:p>
    <w:p w14:paraId="5771A5A4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1. Аналитическая и диагностическая чувствительность</w:t>
      </w:r>
    </w:p>
    <w:p w14:paraId="3DEC6F5A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Тремя партиями тестировали стандартный раствор с концентрациями 0; 10; 25; 50; 100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/мл, по три раза на концентрацию, считывая результат на 10-й минуте. Тест показал положительный результат при 25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/мл, поэтому чувствительность теста — 25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>/мл.</w:t>
      </w:r>
    </w:p>
    <w:p w14:paraId="3278A351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2. Точность</w:t>
      </w:r>
    </w:p>
    <w:p w14:paraId="591E292D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Случайные образцы мочи тестировали тестом One Step LH и тестом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Wondfo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 LH. Всего собрано 160 образцов (90 положительных). Расхождений не выявлено: точность One Step LH — 100% в сравнении с тестом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Wondfo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 LH.</w:t>
      </w:r>
    </w:p>
    <w:p w14:paraId="751E7983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3. Воспроизводимость</w:t>
      </w:r>
    </w:p>
    <w:p w14:paraId="2D289273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Три партии устройств проверяли в трёх разных местах три разных человека. Все три партии показали хорошую воспроизводимость.</w:t>
      </w:r>
    </w:p>
    <w:p w14:paraId="088702FF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4. Вариабельность</w:t>
      </w:r>
    </w:p>
    <w:p w14:paraId="3E8AB379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Три партии устройств тестировали на ЛГ в фиксированное время утром и вечером каждый день, по 5 раз на раствор, считывая на 10-й минуте. Все партии показали хорошую вариабельность и стабильную работу.</w:t>
      </w:r>
    </w:p>
    <w:p w14:paraId="6A1403B1" w14:textId="77777777" w:rsidR="005770A1" w:rsidRPr="00474E78" w:rsidRDefault="005770A1" w:rsidP="005770A1">
      <w:pPr>
        <w:spacing w:before="80" w:after="20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1F3864"/>
          <w:sz w:val="18"/>
          <w:szCs w:val="18"/>
        </w:rPr>
        <w:t>5. Специфичность</w:t>
      </w:r>
    </w:p>
    <w:p w14:paraId="1CDE9C3B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Тремя партиями проверяли отсутствие интерференции с обычными веществами мочи (считывание на 10-й минуте). Полоску каждой партии тестировали с двумя образцами: один с раствором ЛГ 25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>/мл, другой без него. Проверено 12 веществ — интерференции не наблюдалось.</w:t>
      </w:r>
    </w:p>
    <w:p w14:paraId="363D1FBD" w14:textId="77777777" w:rsidR="00474E78" w:rsidRPr="00474E78" w:rsidRDefault="00474E78" w:rsidP="00474E78">
      <w:pPr>
        <w:spacing w:after="50"/>
        <w:rPr>
          <w:rFonts w:ascii="Times New Roman" w:hAnsi="Times New Roman" w:cs="Times New Roman"/>
          <w:lang w:val="en-US"/>
        </w:rPr>
      </w:pPr>
    </w:p>
    <w:tbl>
      <w:tblPr>
        <w:tblW w:w="4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500"/>
      </w:tblGrid>
      <w:tr w:rsidR="005770A1" w:rsidRPr="00474E78" w14:paraId="31EAF029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7885AD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Парацетамол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AD282B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62F25E58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0C1629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Ацетилсалициловая кислота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ADE63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5EFDF9A1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71A42D8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Альбумин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830906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0EDE9DE1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5E7625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Ампициллин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74F6B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59FC7E41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5B8AB2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Аскорбиновая кислота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E48CDC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309757DB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847581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Атропин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9CB34C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1B998E5E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123FF4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Кофеин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2C53DA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0BF38F8F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F75A27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Креатинин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4A783C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100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657C3829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D71ACC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Гентизиновая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 xml:space="preserve"> кислота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2BC046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3210F4BF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9836B1D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Глюкоза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B118CA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 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0A5AD17F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F8A0480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Гемоглобин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DB766B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1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  <w:tr w:rsidR="005770A1" w:rsidRPr="00474E78" w14:paraId="1F8FC678" w14:textId="77777777" w:rsidTr="009E632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23BAE5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Тетрациклин</w:t>
            </w:r>
          </w:p>
        </w:tc>
        <w:tc>
          <w:tcPr>
            <w:tcW w:w="1500" w:type="dxa"/>
            <w:tcBorders>
              <w:top w:val="single" w:sz="1" w:space="0" w:color="888888"/>
              <w:left w:val="single" w:sz="1" w:space="0" w:color="888888"/>
              <w:bottom w:val="single" w:sz="1" w:space="0" w:color="888888"/>
              <w:right w:val="single" w:sz="1" w:space="0" w:color="888888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C5C127" w14:textId="77777777" w:rsidR="005770A1" w:rsidRPr="00474E78" w:rsidRDefault="005770A1" w:rsidP="005770A1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20 мг/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4"/>
                <w:szCs w:val="14"/>
              </w:rPr>
              <w:t>дл</w:t>
            </w:r>
            <w:proofErr w:type="spellEnd"/>
          </w:p>
        </w:tc>
      </w:tr>
    </w:tbl>
    <w:p w14:paraId="15396ABF" w14:textId="77777777" w:rsidR="005770A1" w:rsidRPr="00474E78" w:rsidRDefault="005770A1" w:rsidP="005770A1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Мужской образец мочи с добавлением ФСГ 200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 и ТТГ 200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мкМЕ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/мл, затем ЛГ до 25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 — значимой перекрёстной реакции с 200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/мл ФСГ и 200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мкМЕ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>/мл ТТГ не выявлено.</w:t>
      </w:r>
    </w:p>
    <w:p w14:paraId="7EC634E2" w14:textId="77777777" w:rsidR="005770A1" w:rsidRPr="00474E78" w:rsidRDefault="005770A1" w:rsidP="005770A1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ОГРАНИЧЕНИЯ МЕТОДА</w:t>
      </w:r>
    </w:p>
    <w:p w14:paraId="14E7CAB3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Алкоголь может влиять на результат — не рекомендуется проводить тест после употребления спиртного.</w:t>
      </w:r>
    </w:p>
    <w:p w14:paraId="1B57ED9A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Препараты, содержащие ХГЧ (например,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прегнил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,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профази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,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новарел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) или ЛГ, влияют на результат;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кломид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 xml:space="preserve"> может дать ложноположительный результат при слишком раннем начале тестирования. Алкоголь, аспирин, парацетамол, обезболивающие, антибиотики и прочие препараты без ХГЧ/ЛГ не должны влиять на результат, но гормональные препараты могут. При их приёме проконсультируйтесь с врачом.</w:t>
      </w:r>
    </w:p>
    <w:p w14:paraId="1742E5BE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 xml:space="preserve">Иногда образцы с уровнем менее 25 </w:t>
      </w:r>
      <w:proofErr w:type="spellStart"/>
      <w:r w:rsidRPr="00474E78">
        <w:rPr>
          <w:rFonts w:ascii="Times New Roman" w:eastAsia="Arial" w:hAnsi="Times New Roman" w:cs="Times New Roman"/>
          <w:sz w:val="16"/>
          <w:szCs w:val="16"/>
        </w:rPr>
        <w:t>мМЕ</w:t>
      </w:r>
      <w:proofErr w:type="spellEnd"/>
      <w:r w:rsidRPr="00474E78">
        <w:rPr>
          <w:rFonts w:ascii="Times New Roman" w:eastAsia="Arial" w:hAnsi="Times New Roman" w:cs="Times New Roman"/>
          <w:sz w:val="16"/>
          <w:szCs w:val="16"/>
        </w:rPr>
        <w:t>/мл также дают положительный результат.</w:t>
      </w:r>
    </w:p>
    <w:p w14:paraId="7C7477B9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У женщин с синдромом поликистозных яичников уровень ЛГ может быть повышен — в этом случае результат ложноположительный.</w:t>
      </w:r>
    </w:p>
    <w:p w14:paraId="1B21DBE9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Беременным не следует использовать тест: моча беременных содержит высокую концентрацию ХГЧ, перекрёстно реагирующего с реагентами, — результат будет ложноположительным.</w:t>
      </w:r>
    </w:p>
    <w:p w14:paraId="7CFE3C1A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Как и при любой диагностике, оценивайте результат вместе с другими клиническими данными и консультируйтесь с врачом перед принятием медицинских решений.</w:t>
      </w:r>
    </w:p>
    <w:p w14:paraId="4054B612" w14:textId="77777777" w:rsidR="005770A1" w:rsidRPr="00474E78" w:rsidRDefault="005770A1" w:rsidP="005770A1">
      <w:pPr>
        <w:pStyle w:val="a7"/>
        <w:numPr>
          <w:ilvl w:val="0"/>
          <w:numId w:val="2"/>
        </w:numPr>
        <w:spacing w:after="30" w:line="240" w:lineRule="auto"/>
        <w:contextualSpacing w:val="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Первую утреннюю мочу использовать не рекомендуется: у большинства женщин всплеск ЛГ в сыворотке происходит ранним утром, но не отражается в первой утренней моче.</w:t>
      </w:r>
    </w:p>
    <w:p w14:paraId="36F8E4BB" w14:textId="77777777" w:rsidR="00474E78" w:rsidRPr="00474E78" w:rsidRDefault="00474E78" w:rsidP="00474E78">
      <w:pPr>
        <w:spacing w:after="50"/>
        <w:rPr>
          <w:rFonts w:ascii="Times New Roman" w:hAnsi="Times New Roman" w:cs="Times New Roman"/>
          <w:lang w:val="en-US"/>
        </w:rPr>
      </w:pPr>
    </w:p>
    <w:p w14:paraId="152FFA6B" w14:textId="77777777" w:rsidR="00474E78" w:rsidRPr="00474E78" w:rsidRDefault="00474E78" w:rsidP="00474E78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ПРЕДУПРЕЖДЕНИЯ</w:t>
      </w:r>
    </w:p>
    <w:p w14:paraId="6CA6A293" w14:textId="77777777" w:rsidR="00474E78" w:rsidRPr="00474E78" w:rsidRDefault="00474E78" w:rsidP="00474E78">
      <w:pPr>
        <w:spacing w:after="5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 xml:space="preserve">Только для диагностики </w:t>
      </w:r>
      <w:proofErr w:type="spellStart"/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>in</w:t>
      </w:r>
      <w:proofErr w:type="spellEnd"/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 xml:space="preserve"> </w:t>
      </w:r>
      <w:proofErr w:type="spellStart"/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>vitro</w:t>
      </w:r>
      <w:proofErr w:type="spellEnd"/>
      <w:r w:rsidRPr="00474E78">
        <w:rPr>
          <w:rFonts w:ascii="Times New Roman" w:eastAsia="Arial" w:hAnsi="Times New Roman" w:cs="Times New Roman"/>
          <w:b/>
          <w:bCs/>
          <w:sz w:val="16"/>
          <w:szCs w:val="16"/>
        </w:rPr>
        <w:t>.</w:t>
      </w:r>
    </w:p>
    <w:p w14:paraId="4FB7DB16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1. Внимательно прочитайте инструкцию перед тестом. Обратите внимание на положение линий C и T.</w:t>
      </w:r>
    </w:p>
    <w:p w14:paraId="5B5CB43B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2. Не используйте после истечения срока годности.</w:t>
      </w:r>
    </w:p>
    <w:p w14:paraId="0E7B2217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3. Не используйте устройства повторно; после применения выбрасывайте в мусор.</w:t>
      </w:r>
    </w:p>
    <w:p w14:paraId="24D779FD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4. Не используйте при повреждённом или вскрытом пакете.</w:t>
      </w:r>
    </w:p>
    <w:p w14:paraId="796FAA23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5. Не прикасайтесь к мембране полоски.</w:t>
      </w:r>
    </w:p>
    <w:p w14:paraId="4BDEE8A4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6. После вскрытия пакета используйте тест немедленно; длительное воздействие влажности портит продукт.</w:t>
      </w:r>
    </w:p>
    <w:p w14:paraId="418FB305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7. Считайте образцы мочи и использованные устройства потенциально инфекционными; избегайте контакта с кожей.</w:t>
      </w:r>
    </w:p>
    <w:p w14:paraId="40D39FAE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8. Перед использованием убедитесь в наличии стаканчика для мочи.</w:t>
      </w:r>
    </w:p>
    <w:p w14:paraId="11A1C063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9. Идеальное время теста — во второй половине дня, не рано утром; допустимо с 10:00 до раннего вечера.</w:t>
      </w:r>
    </w:p>
    <w:p w14:paraId="055E5835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10. При нерегулярных или необычно длинных циклах обратитесь к врачу.</w:t>
      </w:r>
    </w:p>
    <w:p w14:paraId="0F6A8C40" w14:textId="77777777" w:rsidR="00474E78" w:rsidRPr="00474E78" w:rsidRDefault="00474E78" w:rsidP="00474E78">
      <w:pPr>
        <w:spacing w:after="30"/>
        <w:ind w:left="200" w:hanging="200"/>
        <w:jc w:val="both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sz w:val="16"/>
          <w:szCs w:val="16"/>
        </w:rPr>
        <w:t>11. Антитела содержат 0,01% азида натрия.</w:t>
      </w:r>
    </w:p>
    <w:p w14:paraId="32B0B282" w14:textId="2F6964AF" w:rsidR="00474E78" w:rsidRPr="00474E78" w:rsidRDefault="00474E78" w:rsidP="00474E78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  <w:lang w:val="en-US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ИСТОЧНИКИ</w:t>
      </w:r>
    </w:p>
    <w:p w14:paraId="36516C23" w14:textId="166967EE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1. </w:t>
      </w: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Batzer, F.R. Fertility &amp; Sterility, Vol 34, 1 1980.</w:t>
      </w:r>
    </w:p>
    <w:p w14:paraId="6CAE4E7B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2. Catt, K.J. Dufan, M.L. and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vaitukaitis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, J.L. J.</w:t>
      </w:r>
    </w:p>
    <w:p w14:paraId="7605C7BB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3. Clin. Endocrinol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Metab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., Vol. 40,537, 1975.</w:t>
      </w:r>
    </w:p>
    <w:p w14:paraId="56CC454C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4. Braunstein, G.D., Rasor, J., Alder, D., Danzer H.</w:t>
      </w:r>
    </w:p>
    <w:p w14:paraId="758B51E4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5. Wade, M.E. Am. J.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Obster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. Gynecol., Vo.</w:t>
      </w:r>
    </w:p>
    <w:p w14:paraId="7CD19D7F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126,678,1976.</w:t>
      </w:r>
    </w:p>
    <w:p w14:paraId="10941324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6. Lenton, E.A., Neal L.M., Sulaiman, R. Fertility and</w:t>
      </w:r>
    </w:p>
    <w:p w14:paraId="1BAF0540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Sterility, Vol. 37,773, 1982.</w:t>
      </w:r>
    </w:p>
    <w:p w14:paraId="2469326E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7. Batzer, F.R. Fertility &amp; Sterility, Vol, 34, 1 1980.</w:t>
      </w:r>
    </w:p>
    <w:p w14:paraId="72C0790E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8. Dawood, M.Y.,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Sexeba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, B.B., and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Lanesman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, R. Ob.</w:t>
      </w:r>
    </w:p>
    <w:p w14:paraId="5CF0F8C8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Gyn. Vol. 126, 678, 1976.</w:t>
      </w:r>
    </w:p>
    <w:p w14:paraId="238503AC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9.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Braustein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, G.D., et Al. AM. Inter. Med. Vol. 78, pp.</w:t>
      </w:r>
    </w:p>
    <w:p w14:paraId="40EAB05B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419-439, 1980.</w:t>
      </w:r>
    </w:p>
    <w:p w14:paraId="067C68DB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10. Uotila, M.,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Ruoslahti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, E. And Engvall, H.J. Immunol.</w:t>
      </w:r>
    </w:p>
    <w:p w14:paraId="6DCF4C35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Methods, Vol. 42, 11, 1981.</w:t>
      </w:r>
    </w:p>
    <w:p w14:paraId="44AB855D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11. C.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Galfre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, S.C. Howe, C. Milstein, G.N. Butcher, and J.</w:t>
      </w:r>
    </w:p>
    <w:p w14:paraId="03282139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C. Howard, Nature 266, 550, 1977.</w:t>
      </w:r>
    </w:p>
    <w:p w14:paraId="358F326B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12. M.N. </w:t>
      </w:r>
      <w:proofErr w:type="spellStart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Iscove</w:t>
      </w:r>
      <w:proofErr w:type="spellEnd"/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 xml:space="preserve"> and F. Melchers, J. Exp Med. 147, 923,</w:t>
      </w:r>
    </w:p>
    <w:p w14:paraId="518DFAE1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1978.</w:t>
      </w:r>
    </w:p>
    <w:p w14:paraId="4EDE6992" w14:textId="77777777" w:rsidR="00474E78" w:rsidRPr="00474E78" w:rsidRDefault="00474E78" w:rsidP="00474E78">
      <w:pPr>
        <w:spacing w:after="50"/>
        <w:rPr>
          <w:rFonts w:ascii="Times New Roman" w:eastAsia="Arial" w:hAnsi="Times New Roman" w:cs="Times New Roman"/>
          <w:sz w:val="14"/>
          <w:szCs w:val="14"/>
          <w:lang w:val="en-US"/>
        </w:rPr>
      </w:pPr>
      <w:r w:rsidRPr="00474E78">
        <w:rPr>
          <w:rFonts w:ascii="Times New Roman" w:eastAsia="Arial" w:hAnsi="Times New Roman" w:cs="Times New Roman"/>
          <w:sz w:val="14"/>
          <w:szCs w:val="14"/>
          <w:lang w:val="en-US"/>
        </w:rPr>
        <w:t>13. P.L., Ey, et. Al., Immunochemistry 15, 429, 1978.</w:t>
      </w:r>
    </w:p>
    <w:p w14:paraId="1032C0BA" w14:textId="77777777" w:rsidR="00474E78" w:rsidRPr="00474E78" w:rsidRDefault="00474E78" w:rsidP="005770A1">
      <w:pPr>
        <w:spacing w:after="50"/>
        <w:jc w:val="center"/>
        <w:rPr>
          <w:rFonts w:ascii="Times New Roman" w:hAnsi="Times New Roman" w:cs="Times New Roman"/>
          <w:lang w:val="en-US"/>
        </w:rPr>
      </w:pPr>
    </w:p>
    <w:p w14:paraId="6AE9F98E" w14:textId="77777777" w:rsidR="00474E78" w:rsidRP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p w14:paraId="7EE3EEE5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3BF763FE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216949AB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161C5551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5723B1A1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49CFC23F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551B4ACD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2325EA84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78087038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288AB683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4BAD0E16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763CA65C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5FA397C1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37FDAEF9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7C6860DC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2B7EE8C1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6C74C2A8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371BED80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1A0CD7E5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51D2E48E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13DF2D72" w14:textId="77777777" w:rsid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p w14:paraId="53C7A69E" w14:textId="77777777" w:rsidR="00474E78" w:rsidRP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7"/>
      </w:tblGrid>
      <w:tr w:rsidR="00474E78" w:rsidRPr="00474E78" w14:paraId="3DDDC84B" w14:textId="77777777" w:rsidTr="009E6324">
        <w:tc>
          <w:tcPr>
            <w:tcW w:w="5630" w:type="dxa"/>
          </w:tcPr>
          <w:p w14:paraId="739E83C1" w14:textId="77777777" w:rsidR="00474E78" w:rsidRPr="00474E78" w:rsidRDefault="00474E78" w:rsidP="009E6324">
            <w:pPr>
              <w:spacing w:before="120" w:after="40"/>
              <w:rPr>
                <w:rFonts w:ascii="Times New Roman" w:hAnsi="Times New Roman" w:cs="Times New Roman"/>
                <w:lang w:val="en-US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062F7E67" wp14:editId="6710FA93">
                  <wp:extent cx="360000" cy="347727"/>
                  <wp:effectExtent l="0" t="0" r="2540" b="0"/>
                  <wp:docPr id="19239148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99883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7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4E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74E78">
              <w:rPr>
                <w:rFonts w:ascii="Times New Roman" w:eastAsia="Arial" w:hAnsi="Times New Roman" w:cs="Times New Roman"/>
                <w:b/>
                <w:bCs/>
                <w:sz w:val="17"/>
                <w:szCs w:val="17"/>
              </w:rPr>
              <w:t>Производитель</w:t>
            </w:r>
          </w:p>
          <w:p w14:paraId="23318591" w14:textId="77777777" w:rsidR="00474E78" w:rsidRPr="00474E78" w:rsidRDefault="00474E78" w:rsidP="009E6324">
            <w:pPr>
              <w:spacing w:after="50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HUBEI MEIBAO Biotechnology Co., Ltd.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Адрес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: No. 5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Hongfu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Road,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Shayang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Economic Development Zone, 448200,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JingMen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City,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КНР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Китай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).</w:t>
            </w:r>
          </w:p>
        </w:tc>
      </w:tr>
      <w:tr w:rsidR="00474E78" w:rsidRPr="00474E78" w14:paraId="0DB6E429" w14:textId="77777777" w:rsidTr="009E6324">
        <w:tc>
          <w:tcPr>
            <w:tcW w:w="5630" w:type="dxa"/>
          </w:tcPr>
          <w:p w14:paraId="0059BD11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</w:p>
        </w:tc>
      </w:tr>
      <w:tr w:rsidR="00474E78" w:rsidRPr="00474E78" w14:paraId="526BA1EA" w14:textId="77777777" w:rsidTr="009E6324">
        <w:tc>
          <w:tcPr>
            <w:tcW w:w="5630" w:type="dxa"/>
          </w:tcPr>
          <w:p w14:paraId="3C5BA81A" w14:textId="77777777" w:rsidR="00474E78" w:rsidRPr="00474E78" w:rsidRDefault="00474E78" w:rsidP="009E6324">
            <w:pPr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1169CC58" wp14:editId="22D117E0">
                  <wp:extent cx="576000" cy="243262"/>
                  <wp:effectExtent l="0" t="0" r="0" b="4445"/>
                  <wp:docPr id="9254268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3168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243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474E7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Уполномоченный представитель в Европе:</w:t>
            </w:r>
          </w:p>
          <w:p w14:paraId="234CBFED" w14:textId="77777777" w:rsidR="00474E78" w:rsidRPr="00474E78" w:rsidRDefault="00474E78" w:rsidP="009E6324">
            <w:pPr>
              <w:spacing w:after="50"/>
              <w:jc w:val="both"/>
              <w:rPr>
                <w:rFonts w:ascii="Times New Roman" w:hAnsi="Times New Roman" w:cs="Times New Roman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Shanghai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International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Holding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Corp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.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GmbH (Europe).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Адрес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Eiffestrasse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 80, 20537, Hamburg, Germany.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Тел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.: +49-40-2513175 · 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</w:rPr>
              <w:t>Факс</w:t>
            </w:r>
            <w:r w:rsidRPr="00474E78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: +49-40-255726.</w:t>
            </w:r>
          </w:p>
        </w:tc>
      </w:tr>
    </w:tbl>
    <w:p w14:paraId="23684EAA" w14:textId="77777777" w:rsidR="00474E78" w:rsidRP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p w14:paraId="46192242" w14:textId="77777777" w:rsidR="00474E78" w:rsidRPr="00474E78" w:rsidRDefault="00474E78" w:rsidP="00474E78">
      <w:pPr>
        <w:shd w:val="clear" w:color="auto" w:fill="D9D9D9"/>
        <w:spacing w:before="120" w:after="30"/>
        <w:jc w:val="center"/>
        <w:rPr>
          <w:rFonts w:ascii="Times New Roman" w:hAnsi="Times New Roman" w:cs="Times New Roman"/>
        </w:rPr>
      </w:pPr>
      <w:r w:rsidRPr="00474E78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УКАЗАТЕЛЬ СИМВОЛОВ</w:t>
      </w:r>
    </w:p>
    <w:p w14:paraId="6BCDFB0F" w14:textId="77777777" w:rsidR="00474E78" w:rsidRPr="00474E78" w:rsidRDefault="00474E78" w:rsidP="0076439D">
      <w:pPr>
        <w:spacing w:after="0"/>
        <w:rPr>
          <w:rFonts w:ascii="Times New Roman" w:hAnsi="Times New Roman" w:cs="Times New Roman"/>
          <w:b/>
          <w:bCs/>
          <w:sz w:val="17"/>
          <w:szCs w:val="17"/>
          <w:lang w:val="tg-Cyrl-TJ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1242"/>
        <w:gridCol w:w="786"/>
        <w:gridCol w:w="1286"/>
      </w:tblGrid>
      <w:tr w:rsidR="00474E78" w:rsidRPr="00474E78" w14:paraId="2DB66217" w14:textId="77777777" w:rsidTr="009E6324">
        <w:tc>
          <w:tcPr>
            <w:tcW w:w="846" w:type="dxa"/>
            <w:vAlign w:val="center"/>
          </w:tcPr>
          <w:p w14:paraId="77D72A2D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2C92153E" wp14:editId="7B45BEEA">
                  <wp:extent cx="360000" cy="329113"/>
                  <wp:effectExtent l="0" t="0" r="2540" b="0"/>
                  <wp:docPr id="17559392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66231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29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147A0726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Не использовать повторно</w:t>
            </w:r>
          </w:p>
        </w:tc>
        <w:tc>
          <w:tcPr>
            <w:tcW w:w="786" w:type="dxa"/>
            <w:vAlign w:val="center"/>
          </w:tcPr>
          <w:p w14:paraId="2870E797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DBA1D94" wp14:editId="280D994C">
                  <wp:extent cx="360000" cy="232480"/>
                  <wp:effectExtent l="0" t="0" r="2540" b="0"/>
                  <wp:docPr id="15459238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11763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3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0E715AD5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 xml:space="preserve">Только для диагностики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in</w:t>
            </w:r>
            <w:proofErr w:type="spellEnd"/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vitro</w:t>
            </w:r>
            <w:proofErr w:type="spellEnd"/>
          </w:p>
        </w:tc>
      </w:tr>
      <w:tr w:rsidR="00474E78" w:rsidRPr="00474E78" w14:paraId="2E3FCBBC" w14:textId="77777777" w:rsidTr="009E6324">
        <w:tc>
          <w:tcPr>
            <w:tcW w:w="846" w:type="dxa"/>
            <w:vAlign w:val="center"/>
          </w:tcPr>
          <w:p w14:paraId="48DDD57C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2CBECCFB" wp14:editId="2ECA80E4">
                  <wp:extent cx="360000" cy="301883"/>
                  <wp:effectExtent l="0" t="0" r="2540" b="3175"/>
                  <wp:docPr id="6682863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29181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1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0153DAAE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Хранить при 4–30 °C</w:t>
            </w:r>
          </w:p>
        </w:tc>
        <w:tc>
          <w:tcPr>
            <w:tcW w:w="786" w:type="dxa"/>
            <w:vAlign w:val="center"/>
          </w:tcPr>
          <w:p w14:paraId="08F8F684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29BF7E26" wp14:editId="3257510C">
                  <wp:extent cx="360000" cy="266873"/>
                  <wp:effectExtent l="0" t="0" r="2540" b="0"/>
                  <wp:docPr id="21039182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1411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66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5215ED5C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Изучите инструкцию по применению</w:t>
            </w:r>
          </w:p>
        </w:tc>
      </w:tr>
      <w:tr w:rsidR="00474E78" w:rsidRPr="00474E78" w14:paraId="5854FF87" w14:textId="77777777" w:rsidTr="009E6324">
        <w:tc>
          <w:tcPr>
            <w:tcW w:w="846" w:type="dxa"/>
            <w:vAlign w:val="center"/>
          </w:tcPr>
          <w:p w14:paraId="6077BD44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5ACCF9A6" wp14:editId="0492294E">
                  <wp:extent cx="360000" cy="307675"/>
                  <wp:effectExtent l="0" t="0" r="2540" b="0"/>
                  <wp:docPr id="7664430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79742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6CA4CEF7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Осторожно</w:t>
            </w:r>
          </w:p>
        </w:tc>
        <w:tc>
          <w:tcPr>
            <w:tcW w:w="786" w:type="dxa"/>
            <w:vAlign w:val="center"/>
          </w:tcPr>
          <w:p w14:paraId="09A4BDD7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76473A33" wp14:editId="25909E74">
                  <wp:extent cx="360000" cy="244068"/>
                  <wp:effectExtent l="0" t="0" r="2540" b="3810"/>
                  <wp:docPr id="19206786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6464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244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101387FF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Номер партии</w:t>
            </w:r>
          </w:p>
        </w:tc>
      </w:tr>
      <w:tr w:rsidR="00474E78" w:rsidRPr="00474E78" w14:paraId="4E4080D9" w14:textId="77777777" w:rsidTr="009E6324">
        <w:tc>
          <w:tcPr>
            <w:tcW w:w="846" w:type="dxa"/>
            <w:vAlign w:val="center"/>
          </w:tcPr>
          <w:p w14:paraId="4FDBB93B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381B9F95" wp14:editId="16C5EFFF">
                  <wp:extent cx="360000" cy="410933"/>
                  <wp:effectExtent l="0" t="0" r="2540" b="8255"/>
                  <wp:docPr id="5523780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2889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41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3B5DE872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Использовать до</w:t>
            </w:r>
          </w:p>
        </w:tc>
        <w:tc>
          <w:tcPr>
            <w:tcW w:w="786" w:type="dxa"/>
            <w:vAlign w:val="center"/>
          </w:tcPr>
          <w:p w14:paraId="1CAB395B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4294CD72" wp14:editId="619A7703">
                  <wp:extent cx="360000" cy="303844"/>
                  <wp:effectExtent l="0" t="0" r="2540" b="1270"/>
                  <wp:docPr id="676439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9775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3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6FC406A9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Достаточно для &lt;n&gt; тестов</w:t>
            </w:r>
          </w:p>
        </w:tc>
      </w:tr>
      <w:tr w:rsidR="00474E78" w:rsidRPr="00474E78" w14:paraId="4FE085F4" w14:textId="77777777" w:rsidTr="009E6324">
        <w:tc>
          <w:tcPr>
            <w:tcW w:w="846" w:type="dxa"/>
            <w:vAlign w:val="center"/>
          </w:tcPr>
          <w:p w14:paraId="1B9BDDA0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7DD49DCE" wp14:editId="60B6E15E">
                  <wp:extent cx="360000" cy="345503"/>
                  <wp:effectExtent l="0" t="0" r="2540" b="0"/>
                  <wp:docPr id="12794205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97179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5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4591FFF7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Не использовать при повреждённой упаковке</w:t>
            </w:r>
          </w:p>
        </w:tc>
        <w:tc>
          <w:tcPr>
            <w:tcW w:w="786" w:type="dxa"/>
            <w:vAlign w:val="center"/>
          </w:tcPr>
          <w:p w14:paraId="0D159374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62F0C4F6" wp14:editId="49C10E33">
                  <wp:extent cx="360000" cy="371545"/>
                  <wp:effectExtent l="0" t="0" r="2540" b="0"/>
                  <wp:docPr id="186546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410296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7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0FC69220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Беречь от влаги</w:t>
            </w:r>
          </w:p>
        </w:tc>
      </w:tr>
      <w:tr w:rsidR="00474E78" w:rsidRPr="00474E78" w14:paraId="0C156A0C" w14:textId="77777777" w:rsidTr="009E6324">
        <w:tc>
          <w:tcPr>
            <w:tcW w:w="846" w:type="dxa"/>
            <w:vAlign w:val="center"/>
          </w:tcPr>
          <w:p w14:paraId="737FC18C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0E4A8589" wp14:editId="5BF1856D">
                  <wp:extent cx="360000" cy="341157"/>
                  <wp:effectExtent l="0" t="0" r="2540" b="1905"/>
                  <wp:docPr id="14903723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140944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4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8" w:type="dxa"/>
            <w:vAlign w:val="center"/>
          </w:tcPr>
          <w:p w14:paraId="073104E2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Беречь от солнца</w:t>
            </w:r>
          </w:p>
        </w:tc>
        <w:tc>
          <w:tcPr>
            <w:tcW w:w="786" w:type="dxa"/>
            <w:vAlign w:val="center"/>
          </w:tcPr>
          <w:p w14:paraId="7E9510AA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hAnsi="Times New Roman" w:cs="Times New Roman"/>
                <w:sz w:val="17"/>
                <w:szCs w:val="17"/>
                <w:lang w:val="tg-Cyrl-TJ"/>
              </w:rPr>
              <w:drawing>
                <wp:inline distT="0" distB="0" distL="0" distR="0" wp14:anchorId="5B988A53" wp14:editId="05FF894B">
                  <wp:extent cx="360000" cy="314445"/>
                  <wp:effectExtent l="0" t="0" r="2540" b="0"/>
                  <wp:docPr id="21333836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63920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vAlign w:val="center"/>
          </w:tcPr>
          <w:p w14:paraId="37AD3D4C" w14:textId="77777777" w:rsidR="00474E78" w:rsidRPr="00474E78" w:rsidRDefault="00474E78" w:rsidP="009E6324">
            <w:pPr>
              <w:rPr>
                <w:rFonts w:ascii="Times New Roman" w:hAnsi="Times New Roman" w:cs="Times New Roman"/>
                <w:sz w:val="17"/>
                <w:szCs w:val="17"/>
                <w:lang w:val="tg-Cyrl-TJ"/>
              </w:rPr>
            </w:pPr>
            <w:r w:rsidRPr="00474E78">
              <w:rPr>
                <w:rFonts w:ascii="Times New Roman" w:eastAsia="Arial" w:hAnsi="Times New Roman" w:cs="Times New Roman"/>
                <w:sz w:val="15"/>
                <w:szCs w:val="15"/>
              </w:rPr>
              <w:t>Производитель</w:t>
            </w:r>
          </w:p>
        </w:tc>
      </w:tr>
    </w:tbl>
    <w:p w14:paraId="56C50E7E" w14:textId="77777777" w:rsidR="00D1109F" w:rsidRPr="00474E78" w:rsidRDefault="00D1109F" w:rsidP="0076439D">
      <w:pPr>
        <w:spacing w:after="0"/>
        <w:rPr>
          <w:rFonts w:ascii="Times New Roman" w:hAnsi="Times New Roman" w:cs="Times New Roman"/>
          <w:sz w:val="17"/>
          <w:szCs w:val="17"/>
          <w:lang w:val="tg-Cyrl-TJ"/>
        </w:rPr>
      </w:pPr>
    </w:p>
    <w:sectPr w:rsidR="00D1109F" w:rsidRPr="00474E78" w:rsidSect="005770A1">
      <w:pgSz w:w="20160" w:h="12240" w:orient="landscape" w:code="5"/>
      <w:pgMar w:top="850" w:right="1134" w:bottom="567" w:left="1134" w:header="708" w:footer="708" w:gutter="0"/>
      <w:cols w:num="4" w:space="4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F84E" w14:textId="77777777" w:rsidR="00925552" w:rsidRDefault="00925552" w:rsidP="0076439D">
      <w:pPr>
        <w:spacing w:after="0" w:line="240" w:lineRule="auto"/>
      </w:pPr>
      <w:r>
        <w:separator/>
      </w:r>
    </w:p>
  </w:endnote>
  <w:endnote w:type="continuationSeparator" w:id="0">
    <w:p w14:paraId="290D239D" w14:textId="77777777" w:rsidR="00925552" w:rsidRDefault="00925552" w:rsidP="0076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A11B" w14:textId="77777777" w:rsidR="00925552" w:rsidRDefault="00925552" w:rsidP="0076439D">
      <w:pPr>
        <w:spacing w:after="0" w:line="240" w:lineRule="auto"/>
      </w:pPr>
      <w:r>
        <w:separator/>
      </w:r>
    </w:p>
  </w:footnote>
  <w:footnote w:type="continuationSeparator" w:id="0">
    <w:p w14:paraId="30ECF3C1" w14:textId="77777777" w:rsidR="00925552" w:rsidRDefault="00925552" w:rsidP="00764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214E"/>
    <w:multiLevelType w:val="hybridMultilevel"/>
    <w:tmpl w:val="AE0A5BF0"/>
    <w:lvl w:ilvl="0" w:tplc="93627F3E">
      <w:start w:val="1"/>
      <w:numFmt w:val="bullet"/>
      <w:lvlText w:val="•"/>
      <w:lvlJc w:val="left"/>
      <w:pPr>
        <w:ind w:left="200" w:hanging="160"/>
      </w:pPr>
    </w:lvl>
    <w:lvl w:ilvl="1" w:tplc="13420BA8">
      <w:numFmt w:val="decimal"/>
      <w:lvlText w:val=""/>
      <w:lvlJc w:val="left"/>
    </w:lvl>
    <w:lvl w:ilvl="2" w:tplc="9BE08EA0">
      <w:numFmt w:val="decimal"/>
      <w:lvlText w:val=""/>
      <w:lvlJc w:val="left"/>
    </w:lvl>
    <w:lvl w:ilvl="3" w:tplc="0F629C9A">
      <w:numFmt w:val="decimal"/>
      <w:lvlText w:val=""/>
      <w:lvlJc w:val="left"/>
    </w:lvl>
    <w:lvl w:ilvl="4" w:tplc="685E6DB0">
      <w:numFmt w:val="decimal"/>
      <w:lvlText w:val=""/>
      <w:lvlJc w:val="left"/>
    </w:lvl>
    <w:lvl w:ilvl="5" w:tplc="545A8992">
      <w:numFmt w:val="decimal"/>
      <w:lvlText w:val=""/>
      <w:lvlJc w:val="left"/>
    </w:lvl>
    <w:lvl w:ilvl="6" w:tplc="50E86F52">
      <w:numFmt w:val="decimal"/>
      <w:lvlText w:val=""/>
      <w:lvlJc w:val="left"/>
    </w:lvl>
    <w:lvl w:ilvl="7" w:tplc="F890749E">
      <w:numFmt w:val="decimal"/>
      <w:lvlText w:val=""/>
      <w:lvlJc w:val="left"/>
    </w:lvl>
    <w:lvl w:ilvl="8" w:tplc="63844310">
      <w:numFmt w:val="decimal"/>
      <w:lvlText w:val=""/>
      <w:lvlJc w:val="left"/>
    </w:lvl>
  </w:abstractNum>
  <w:abstractNum w:abstractNumId="1" w15:restartNumberingAfterBreak="0">
    <w:nsid w:val="415C341D"/>
    <w:multiLevelType w:val="hybridMultilevel"/>
    <w:tmpl w:val="FEB2B098"/>
    <w:lvl w:ilvl="0" w:tplc="3C06436C">
      <w:start w:val="1"/>
      <w:numFmt w:val="bullet"/>
      <w:lvlText w:val="•"/>
      <w:lvlJc w:val="left"/>
      <w:pPr>
        <w:ind w:left="220" w:hanging="180"/>
      </w:pPr>
    </w:lvl>
    <w:lvl w:ilvl="1" w:tplc="004A5FFE">
      <w:numFmt w:val="decimal"/>
      <w:lvlText w:val=""/>
      <w:lvlJc w:val="left"/>
    </w:lvl>
    <w:lvl w:ilvl="2" w:tplc="2794B6EA">
      <w:numFmt w:val="decimal"/>
      <w:lvlText w:val=""/>
      <w:lvlJc w:val="left"/>
    </w:lvl>
    <w:lvl w:ilvl="3" w:tplc="C270D3CC">
      <w:numFmt w:val="decimal"/>
      <w:lvlText w:val=""/>
      <w:lvlJc w:val="left"/>
    </w:lvl>
    <w:lvl w:ilvl="4" w:tplc="C1B60D40">
      <w:numFmt w:val="decimal"/>
      <w:lvlText w:val=""/>
      <w:lvlJc w:val="left"/>
    </w:lvl>
    <w:lvl w:ilvl="5" w:tplc="AC1ADD0E">
      <w:numFmt w:val="decimal"/>
      <w:lvlText w:val=""/>
      <w:lvlJc w:val="left"/>
    </w:lvl>
    <w:lvl w:ilvl="6" w:tplc="217E4C04">
      <w:numFmt w:val="decimal"/>
      <w:lvlText w:val=""/>
      <w:lvlJc w:val="left"/>
    </w:lvl>
    <w:lvl w:ilvl="7" w:tplc="924CD6D4">
      <w:numFmt w:val="decimal"/>
      <w:lvlText w:val=""/>
      <w:lvlJc w:val="left"/>
    </w:lvl>
    <w:lvl w:ilvl="8" w:tplc="FC668AA6">
      <w:numFmt w:val="decimal"/>
      <w:lvlText w:val=""/>
      <w:lvlJc w:val="left"/>
    </w:lvl>
  </w:abstractNum>
  <w:num w:numId="1" w16cid:durableId="1101951051">
    <w:abstractNumId w:val="1"/>
    <w:lvlOverride w:ilvl="0">
      <w:startOverride w:val="1"/>
    </w:lvlOverride>
  </w:num>
  <w:num w:numId="2" w16cid:durableId="14347850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9D"/>
    <w:rsid w:val="00307DE6"/>
    <w:rsid w:val="00474E78"/>
    <w:rsid w:val="005770A1"/>
    <w:rsid w:val="0076439D"/>
    <w:rsid w:val="0080098F"/>
    <w:rsid w:val="00925552"/>
    <w:rsid w:val="009B6271"/>
    <w:rsid w:val="009D1FED"/>
    <w:rsid w:val="00A42BD0"/>
    <w:rsid w:val="00CE0010"/>
    <w:rsid w:val="00D1109F"/>
    <w:rsid w:val="00D7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B24A"/>
  <w15:chartTrackingRefBased/>
  <w15:docId w15:val="{2ADE5FAF-1E78-4269-A481-0557D67A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3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3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3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3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3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3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4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4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439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7643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43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43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43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64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6439D"/>
  </w:style>
  <w:style w:type="paragraph" w:styleId="ae">
    <w:name w:val="footer"/>
    <w:basedOn w:val="a"/>
    <w:link w:val="af"/>
    <w:uiPriority w:val="99"/>
    <w:unhideWhenUsed/>
    <w:rsid w:val="00764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6439D"/>
  </w:style>
  <w:style w:type="table" w:styleId="af0">
    <w:name w:val="Table Grid"/>
    <w:basedOn w:val="a1"/>
    <w:uiPriority w:val="39"/>
    <w:rsid w:val="00D7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Mirzoev Muhammad</dc:creator>
  <cp:keywords/>
  <dc:description/>
  <cp:lastModifiedBy>Mirzoev Muhammad</cp:lastModifiedBy>
  <cp:revision>2</cp:revision>
  <dcterms:created xsi:type="dcterms:W3CDTF">2026-06-27T14:44:00Z</dcterms:created>
  <dcterms:modified xsi:type="dcterms:W3CDTF">2026-06-27T14:44:00Z</dcterms:modified>
</cp:coreProperties>
</file>